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11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866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магазина «Магнит»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д.17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1,01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по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31.03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